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5"/>
        <w:gridCol w:w="855"/>
        <w:tblGridChange w:id="0">
          <w:tblGrid>
            <w:gridCol w:w="8175"/>
            <w:gridCol w:w="855"/>
          </w:tblGrid>
        </w:tblGridChange>
      </w:tblGrid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QTY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ELMER'S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glue sticks (washable, purple, dries clear)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oz. bottle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ELMER'S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washable school glue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Sharpened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yellow #2 pencils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TICONDEROGA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brand)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Boxes of regular-sized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CRAYOLA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crayons (24 colors)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CRAYOLA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washable watercolor paint set with brush (8 colors)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CRAYOLA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colored pencils (12 colors)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CRAYOLA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broad tip washable markers (8 classic colors)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366.4" w:hRule="atLeast"/>
        </w:trPr>
        <w:tc>
          <w:tcPr>
            <w:vMerge w:val="restart"/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BOYS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Canister of bleach-free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CLOROX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disinfecting wipes (used for surfaces)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GIRLS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Canister of antibacterial hand and face wipes</w:t>
            </w:r>
          </w:p>
        </w:tc>
        <w:tc>
          <w:tcPr>
            <w:vMerge w:val="restart"/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.4" w:hRule="atLeast"/>
        </w:trPr>
        <w:tc>
          <w:tcPr>
            <w:vMerge w:val="continue"/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Large box of facial tissues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BOYS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Box of gallon-sized sealable plastic storage bags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GIRLS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Box of sandwich-sized sealable plastic storage bags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PLAY-DOH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(4 oz. cans)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Gallon baggie with a complete change of clothes (long pants, shirt, socks, underwear)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Standard sized backpack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wheels)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Pair of tennis shoes to be left at school for P.E.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velcro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unless your child can tie shoes independently) 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Large (adult-sized) t-shirt to be used as a paint shirt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Four-section vinyl kindermat for resting time (without a pillow section – approx. 5/8 x 19 x 45 inches)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Due to classroom storage space, please limit mat size to these approximate dimensions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Basic headphones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Not earbuds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Due to limited classroom storage space, please send in small, basic headphones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Please print child's full name on the extra clothes, backpack, tennis shoes,</w:t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paint shirt, kindermat, and headphones only. All other items are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stored separately and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need to be labeled.</w:t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u w:val="single"/>
          <w:rtl w:val="0"/>
        </w:rPr>
        <w:t xml:space="preserve">Parents may be asked to supply additional facial tissues and wipes, as needed.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*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08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2021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LEDGEWOOD SCHOOL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KINDERGARTEN SUPPLY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